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uge Boogie" w:cs="Ruge Boogie" w:eastAsia="Ruge Boogie" w:hAnsi="Ruge Boogie"/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40"/>
          <w:szCs w:val="40"/>
          <w:vertAlign w:val="baseline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sz w:val="40"/>
          <w:szCs w:val="40"/>
          <w:vertAlign w:val="superscript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40"/>
          <w:szCs w:val="40"/>
          <w:vertAlign w:val="baseline"/>
          <w:rtl w:val="0"/>
        </w:rPr>
        <w:t xml:space="preserve"> Grade Monthly News!      </w:t>
      </w:r>
      <w:r w:rsidDel="00000000" w:rsidR="00000000" w:rsidRPr="00000000">
        <w:rPr>
          <w:rFonts w:ascii="Georgia" w:cs="Georgia" w:eastAsia="Georgia" w:hAnsi="Georgia"/>
          <w:sz w:val="40"/>
          <w:szCs w:val="40"/>
          <w:rtl w:val="0"/>
        </w:rPr>
        <w:t xml:space="preserve">October</w:t>
      </w:r>
      <w:r w:rsidDel="00000000" w:rsidR="00000000" w:rsidRPr="00000000">
        <w:rPr>
          <w:rFonts w:ascii="Georgia" w:cs="Georgia" w:eastAsia="Georgia" w:hAnsi="Georgia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40"/>
          <w:szCs w:val="40"/>
          <w:rtl w:val="0"/>
        </w:rPr>
        <w:t xml:space="preserve">2018</w:t>
      </w:r>
    </w:p>
    <w:tbl>
      <w:tblPr>
        <w:tblStyle w:val="Table1"/>
        <w:tblW w:w="14055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1635"/>
        <w:gridCol w:w="1575"/>
        <w:gridCol w:w="1560"/>
        <w:gridCol w:w="1650"/>
        <w:gridCol w:w="1590"/>
        <w:gridCol w:w="2565"/>
        <w:gridCol w:w="3480"/>
        <w:tblGridChange w:id="0">
          <w:tblGrid>
            <w:gridCol w:w="1635"/>
            <w:gridCol w:w="1575"/>
            <w:gridCol w:w="1560"/>
            <w:gridCol w:w="1650"/>
            <w:gridCol w:w="1590"/>
            <w:gridCol w:w="2565"/>
            <w:gridCol w:w="3480"/>
          </w:tblGrid>
        </w:tblGridChange>
      </w:tblGrid>
      <w:tr>
        <w:trPr>
          <w:trHeight w:val="500" w:hRule="atLeast"/>
        </w:trPr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Tuesday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Wednesday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Thursday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Friday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WEEKLY FOCUS!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-585" w:firstLine="0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2.1 Shapes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Growing Plants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Liberty Legacy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2.2 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Sorting quadrilaterals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2.3 Ordering rectangles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2.4 Building Rectangles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2.5 Drawing rectangles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Story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 Tara &amp; Tiree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Phonics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 r controlled vowels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Grammar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 Nouns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 2.1-2.5</w:t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5160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1847215" cy="107505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0750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!!!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Wow! Can’t believe we are already in the month of October. We will be having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parent-teacher conferences on OCT. 25th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. I will send more information home soon.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Students are expected to read their story test independently starting this week. They will be expected to be reading 63 words fluently per minute.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720" w:firstLine="0"/>
              <w:rPr>
                <w:rFonts w:ascii="Comic Sans MS" w:cs="Comic Sans MS" w:eastAsia="Comic Sans MS" w:hAnsi="Comic Sans MS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UPCOMING EVENTS: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Oct. 8-9 Fall BREAK,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 Oct. 10 PD Day - No students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Oct. 11 Fall Pictures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Oct. 16 PTO 5:30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Oct.25 Conferences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NOVEMBER 8 is FALL FESTIVAL!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069568" cy="80981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568" cy="809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Columbus Day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Fall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Fall Break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 PICTURES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Benchmark Test Math 1st nine weeks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Transfering Pollen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Transfering Pollen/Liberty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Math Lesson 2.6 preview /Facts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No test/ AR Reading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Economy Unit 11-26</w:t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Libre Baskerville" w:cs="Libre Baskerville" w:eastAsia="Libre Baskerville" w:hAnsi="Libre Baskerville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2.6 How many Rectangles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Liberty Legacy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2.7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Is it a Rectangle /Study Guide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2.8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Making Boxes out of Rectangles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2.9 Geoblock review .Test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Unit 2-2.6-2.10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2.10 Assessment/ Facts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Story: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Abraham Lincoln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Phonics: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contractions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Grammar: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Nouns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 Does order matter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Liberty Legac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 Number Strings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1.3 Beat the Calculator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 Close to 20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Parent Teacher conferences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 close to 20 addends test with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Story: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Scarcity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Phonics: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r controlled er, ir, ur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Grammar: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Singular/Plural Nouns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1.5 addition combinations/Study Guide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1.6 Number Strings Test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Unit 3-1.1-1.6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Unit 3-2.1 story problems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Happy 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Halloween Party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31400" y="3151350"/>
                                <a:ext cx="50292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Parents, we have been very busy learning routines and procedures, getting to know each other, and going over rules and expectations! I have enjoyed meeting with you and your child and feel that we are off to a great start!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Thanks,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Mrs. Weldon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E-mail address – kweldon@ozarkcityschools.net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29200" cy="1257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>
          <w:rFonts w:ascii="Libre Baskerville" w:cs="Libre Baskerville" w:eastAsia="Libre Baskerville" w:hAnsi="Libre Baskerville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sectPr>
      <w:pgSz w:h="12240" w:w="15840"/>
      <w:pgMar w:bottom="360" w:top="187.2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mic Sans M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Ruge Boogie">
    <w:embedRegular w:fontKey="{00000000-0000-0000-0000-000000000000}" r:id="rId4" w:subsetted="0"/>
  </w:font>
  <w:font w:name="Bell M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b w:val="1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Source Sans Pro" w:cs="Source Sans Pro" w:eastAsia="Source Sans Pro" w:hAnsi="Source Sans Pro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RugeBoogie-regular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BellMT-regular.ttf"/><Relationship Id="rId6" Type="http://schemas.openxmlformats.org/officeDocument/2006/relationships/font" Target="fonts/BellMT-bold.ttf"/><Relationship Id="rId7" Type="http://schemas.openxmlformats.org/officeDocument/2006/relationships/font" Target="fonts/BellMT-italic.ttf"/><Relationship Id="rId8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